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21.08.2019, оставленным без изменения постановлением Семнадцатого арбитражного апелляционного суда от 06.11.2019, общество привлечено к административной ответственности по статье 14.37 Кодекса Российской Федерации об административных правонарушениях и ему назначено наказание в виде штрафа в размере 250 000 рублей. 2 Постановлением Арбитражного суда Уральского округа от 13.02.2020 указанные судебные акты отменены, дело направлено на новое рассмотрение в суд первой инстанции.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Арбитражный суд Пермского края решением от 19.03.2020 отказал в удовлетворении требований о привлечении общества к административной ответственности по статье 14.37 Кодекса Российской Федерации об административных правонарушениях в связи с истечением срока давности привлечения к административной ответственности при новом рассмотрении дела в суде первой инстанции. Передача жалобы для рассмотрения в судебном заседании Судебной коллегии Верховного Суда Российской Федерации не приведет к защите охраняемых законом публичных интересов при установленных обстоятельствах 3 истечения срока давности привлечения к административной ответственности, что является обстоятельством, исключающим производство по делу об административном правонарушении, и наличии вступившего в законную силу судебного акта, который не обжаловался в установленном процессуальным законодательством порядке.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