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16.08.2019, оставленным без изменения постановлением Тринадцатого арбитражного апелляционного суда от 29.10.2019 и постановлением Арбитражного суда Северо-Западного округа от 17.02.2020, иск удовлетворен частично. В кассационной жалобе общество «ЭнергоСтройПроект» просит о пересмотре судебных актов вследствие необоснованного отказа в уменьшении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