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12.08.2019, оставленным без изменения постановлением Девятого арбитражного апелляционного суда от 23.10.2019, в удовлетворении иска отказано в связи с установлением договорных условий для изменения банком размера процентной ставки. Арбитражный суд Московского округа постановлением от 16.03.2020 решение от 12.08.2019 и постановление Девятого арбитражного апелляционного суда от 23.10.2019 оставил без изменения. В кассационной жалобе общество просит об отмене судебных актов как незаконных, ссылаясь на неверное толкование условий кредитного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условиями кредитного договора банку предоставлено право на увеличение размера процентной ставки за пользование кредитом в одностороннем порядке в связи с нарушением заемщиком или лицом, предоставившим обеспечение по кредиту, условий договора либо иного договора, в соответствии с которым банку предоставлено обеспечение. Судебная практика рассмотрения споров об исполнении, изменении и расторжении кредитных договоров связывает одностороннее изменение банком размера платы (процентов) за пользование кредитом с доказанностью установленных законом и договором условий для него. Поскольку в настоящем споре судами установлено наступление предусмотренных договором условий для увеличения процентной ставки, судебные акты соответствуют договору.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«Мытищинский пластик»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"МЫТИЩИНСКИЙ ПЛАСТИК" (подробнее) Ответчики: ПАО НАЦИОНАЛЬНЫЙ БАНК "ТРАСТ"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