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«Сантик» (исполнитель) обратилось в Арбитражный суд Московской области с иском о взыскании с общества с ограниченной ответственностью «Альбион-2002» (заказчика) 4 233 800 рублей задолженности по договору на предоставление услуг по вывозу и утилизации твердых бытовых отходов от 02.12.2015 № 45. Решением Арбитражного суда Московской области от 03.10.2019 иск удовлетворен. Постановлением Десятого арбитражного апелляционного суда от 16.12.2019 решение суда первой инстанции оставлено без изменения. Арбитражный суд Московского округа постановлением от 18.03.2020 указанные судебные акты оставил без изменения. Общество с ограниченной ответственностью «Альбион-2002»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оказания услуг по вывозу твердых бытовых отходов и отсутствие мотивированного отказа от подписания актов оказанных услуг, руководствуясь положениями статей 309, 310, 779, 781 Гражданского кодекса Российской Федерации, суды сделали вывод о наличии оснований для оплаты оказанных услуг.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ходатайства о фальсификации доказательств,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«Альбион-2002»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