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09.07.2019, оставленным без изменения постановлением Тринадцатого арбитражного апелляционного суда от 07.10.2019, иск удовлетворен частично. Постановлением Арбитражного суда Северо-Западного округа от 14.02.2020 решение и постановление апелляционного суда отменены, дело направлено на новое рассмотрение в суд первой инстанции в ином составе. В кассационной жалобе фирма просит отменить постановление окружного суда, ссылаясь на нарушение норм материального и процессуального права.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дали оценки доводам и возражениям ответчика, имеющим существенное значение для разрешения дела. Отмена судебных актов связи с названным нарушением осуществлена в пределах полномочий, предусмотренных статьями 286, 287 Арбитражного процессуального кодекса Российской Федерации. Вопрос о восстановлении срока в обжалуемом постановлении не рассматривался, поэтому связанный с ним довод жалобы обсуждению не подлежит.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«Юридическая фирма «РЕЕСТР»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