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«Агреман» обратилось в Арбитражный суд Тверской области с иском о взыскании с Министерства энергетики и жилищно-коммунального хозяйства Тверской области 40 500 рублей убытков в связи с простоем цистерн.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«Газпром нефть», общество с ограниченной ответственностью «Газпромнефть-Логистика». Решением Арбитражного суда Тверской области от 23.09.2019, принятым в порядке упрощенного производства, иск удовлетворен. Постановлением Четырнадцатого арбитражного апелляционного суда от 14.11.2019 решение суда первой инстанции оставлено без изменения. Арбитражный суд Северо-Западного округа постановлением от 17.03.2020 указанные судебные акты отменил и в удовлетворении иска отказал. Общество с ограниченной ответственностью «Агреман» обратилось в Судебную коллегию по экономическим спорам Верховного Суда Российской 2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Проверив в порядке статей 286, 287, 288.2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выводам о несоответствии выводов, содержащихся в принятых по делу судебных актах, установленным фактическим обстоятельствам и имеющимся в деле доказательствам и об отсутствии доказательств того, что именно действия (бездействие) ответчика, являющегося грузополучателем, привели к сверхнормативному простою вагонов.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акта, или которые привели или могли привести к принятию неправильного судебного акта,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«Агреман»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