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02.06.2019 исковое заявление оставлено без рассмотрения на основании пункта 2 части 1 статьи 148 Арбитражного процессуального кодекса Российской Федерации. Постановлением Десятого арбитражного апелляционного суда от 06.12.2019, оставленным без изменения постановлением Арбитражного суда Московского округа от 13.03.2020, определение отменено, вопрос направлен на новое рассмотрение. В кассационной жалобе общество «Биоальянс» просит об отмене судебных актов апелляционного и окружного судов в связи с тем, что дело не разрешено по существу вопреки содержанию его апелляционной жалобы.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 суда апелляционной инстанции отсутствовали полномочия на рассмотрение дела по существу минуя первую инстанцию, усмотревшую препятствия для разрешения дела. Апелляционный суд в соответствии с полномочиями, предусмотренными статьей 272 Арбитражного процессуального кодекса Российской Федерации, устранил препятствие, поэтому его судебный акт пересмотру не подлежит.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«Биоальянс»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