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«Первая грузовая компания» обратилось в Арбитражный суд Свердловской области с иском, уточненным в порядке статьи 49 Арбитражного процессуального кодекса Российской Федерации, о взыскании с Уральского акционерного общества промышленного железнодорожного транспорта 1 506 000 рублей убытков, возникших в результате схода вагона № 50199470, произошедшего 17.04.2019 на железнодорожных путях необщего пользования, принадлежащих ответчику.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«Лукойл-Пермнефтеоргсинтез», общество с ограниченной ответственностью «Лукойл-Уралнефтепродукт». Решением Арбитражного суда Свердловской области от 15.08.2019 иск удовлетворен. Постановлением Семнадцатого арбитражного апелляционного суда от 22.11.2019 решение суда первой инстанции оставлено без изменения. Арбитражный суд Уральского округа постановлением от 18.03.2020 указанные судебные акты отменил и направил дело на новое рассмотрение в Арбитражный суд Свердловской области. Акционерное общество «Первая грузовая компания»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«Первая грузовая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ПУБЛИЧНОЕ АКЦИОНЕРНОЕ ОБЩЕСТВО ПЕРВАЯ ГРУЗОВАЯ КОМПАНИЯ (подробнее) Ответчики: АО УРАЛЬСКОЕ ПРОМЫШЛЕННОГО ЖЕЛЕЗНОДОРОЖНОГО ТРАНСПОРТА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