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внешний управляющий Блинник Семён Борисович обратился в суд с заявлением о признании недействительными сделками пунктов 1.3 восьми договоров уступки требования (цессии), заключенных должником (цедентом) и обществом (цессионарием), о зачёте встречных требований, и о применении последствий недействительности сделок в виде взыскания с общества в конкурсную массу должника 31 648 799 рублей. Определением Арбитражного суда Ярославской области от 24.12.2018 принят отказ конкурсного управляющего должником Дёмина Максима Сергеевича от заявления; производство по заявлению внешнего управляющего должником прекращено. Постановлением Второго арбитражного апелляционного суда от 19.03.2019 отменено определение суда первой инстанции от 24.12.2018, вопрос направлен на новое рассмотрение. Определением Арбитражного суда Ярославской области от 22.07.2019, оставленным без изменения постановлениями Второго арбитражного апелляционного суда от 12.11.2019 и Арбитражного суда Волго-Вятского округа от 14.02.2020, заявление удовлетворено частично, признаны 2 недействительными пункты 1.3 договоров цессии от 18.09.2015 № 247/2015-ЯГК (60-2-0110/15) в сумме 7 756 737 рублей и от 23.12.2015 № 400/2015-ЯГК (60-2-0145/15) в сумме 83 700 рублей, применены последствия недействительности вышеуказанных сделок в виде восстановления взаимной задолженность в общем размере 7 840 437 рублей, отказано в удовлетворении остальной части заявления. В кассационной жалобе, поданной в Верховный Суд Российской Федерации, заявитель просит отменить указанные судебные акты в части удовлетворения заявления, принять по делу новый судебный акт об отказе в удовлетворении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431 Гражданского кодекса Российской Федерации, статей 61.3, 61.4 и 134 Федерального закона от 26.10.2002 № 127- ФЗ «О несостоятельности (банкротстве)», позицией, изложенной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пришли к выводу о совершении сделок в пределах периода предпочтительности вне рамок обычной хозяйственной деятельности, указав на следствие сделок – предпочтительное удовлетворение требований общества перед другими кредиторами должника, правомерно применив последствия недействительности сделок.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и получили надлежащую правовую оценку, отклонены как несостоятельные с подробным изложением мотивов отклонения. Несогласие заявителя с выводами судебных инстанций, основанными на установленных фактических обстоятельствах дела и оценке доказательств, 3 не свидетельствует о неправильном применении судами норм материального и процессуального права, повлиявшем на исход дела.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«Газпром межрегионгаз Ярославль»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