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об отмене торгов от 29.10.18, от 11.12.2018 и от 02.02.2019. Определением Арбитражного суда Московской области от 05.11.2019, оставленным без изменения постановлениями Десятого арбитражного апелляционного суда от 25.12.2019 и Арбитражного суда Московского округа от 19.03.2020, отказано в удовлетворении заявления. В кассационной жалобе, поданной в Верховный Суд Российской Федерации, заявитель просит отменить указанное постановление суда округа,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судебные акты без изменения, суд округа, руководствуясь положениями статей 110, 139 и 213.26 Федерального закона от 26.10.2002 № 127-ФЗ «О несостоятельности (банкротстве)», согласился с выводами судов первой и апелляционной инстанций об отсутствии оснований для удовлетворения заявления ввиду недоказанности наличия нарушений законодательства о несостоятельности при проведении торгов, а также прав и законных интересов должника и его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Доводы, приведённые заявителем в настоящей жалобе, не свидетельствуют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"ПРОИЗВОДСТВЕННОЕ ПРЕДПРИЯТИЕ "РАДАР-2633" (подробнее) ПАО Сбербанк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