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«Страховая компания «Согласие» обратилось в Арбитражный суд Челябинской области с иском о взыскании с общества с ограниченной ответственностью «Спутник» 22 019 рублей 50 копеек выплаченного страхового возмещения. К участию в деле в качестве третьих лиц, не заявляющих самостоятельных требований относительно предмета спора, привлечены ВТБ Лизинг (акционерное общество), общество с ограниченной ответственностью «Национальная страховая группа – «Росэнерго», ФИО1. Решением Арбитражного суда Челябинской области от 16.10.2019 иск удовлетворен. Постановлением Восемнадцатого арбитражного апелляционного суда от 10.12.2019 решение суда первой инстанции оставлено без изменения. Арбитражный суд Уральского округа постановлением от 05.03.2020 указанные судебные акты оставил без изменения. Общество с ограниченной ответственностью «Спутник»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подпунктом «ж» пункта 1 статьи 14 Федерального закона от 25.04.2002 № 40-ФЗ «Об обязательном страховании гражданской ответственности владельцев транспортных средств», суды пришли к выводу об обоснованности иска.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«Спутник»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"Страховая компания "Согласие" (подробнее) Ответчики: ООО "Спутник"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