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17.05.2019, оставленным без изменения постановлением Девятнадцатого арбитражного апелляционного суда от 22.08.2019, в удовлетворении заявленного требования отказано. Постановлением Арбитражного суда Центрального округа от 19.02.2020 указанные судебные акты оставлены без изменения. В кассационной жалобе общество просит принятые по делу судебные акты отменить, считая их незаконными и необоснованными. Изучив изложенные в жалобе доводы и принятые по делу судебные акты, судья не находит оснований для удовлетворения жалобы. Как следует из судебных актов, общество привлечено к ответственности за нарушение сроков представления отчетов о движении средств по счетам (вкладам) в банках за пределами территории РФ и подтверждающих банковских документов. Частью 6.3 статьи 15.25 Кодекса Российской Федерации об административных правонарушениях предусмотрена административная ответственность за нарушение установленных сроков представления форм учета и отчетности по валютным операциям, подтверждающих документов и информации при осуществлении валютных операций или сроков представления отчетов о движении средств по счетам (вкладам) в банках за пределами территории Российской Федерации и (или) подтверждающих банковских документов более чем на тридцать дней.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Основ законодательства Российской Федерации о нотариате, постановления Правительства Российской Федерации от 28.12.2005 № 819 «Об утверждении правил представления юридическими лицамирезидентами и индивидуальными предпринимателями - резидентами налоговым органам отчетов о движении средств по счетам (вкладам) в банках за пределами территории Российской Федерации», Методических рекомендаций по свидетельствованию верности копий документов и выписок из них, утвержденных решением Правления Федеральной нотариальной палаты от 25.04.2016 (протокол № 04/16), суды пришли к выводам о наличии в действиях общества состава вмененного административного правонарушения. При рассмотрении настоящего спора суды не установили объективных препятствий для соблюдения обществом запретов и ограничений, предусмотренных нормами валютного законодательства, а равно принятие обществом исчерпывающих мер для соблюдения требований законодательства, что свидетельствует о наличии его вины в совершении правонарушения. Судами проверены процедура и срок давности привлечения к административной ответственности, нарушений положений Кодекса Российской Федерации об административных правонарушениях не установлено. Штраф назначен обществу в минимальном размере санкции нормы.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Достаточных оснований для передачи жалобы для рассмотрения в судебном заседании Судебной коллегии Верховного Суда Российской Федерации исходя из положений статьи 31.7 Кодекса Российской Федерации об административных правонарушениях и разъяснений пункта 1 постановления Пленума Высшего Арбитражного Суда Российской Федерации от 22.06.2012 № 37 «О некоторых вопросах, возникающих при устранении ответственности за совершение публично-правового правонарушения», пункта 33.2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не выявлено.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"Энергоимпульс" (подробнее) Ответчики: МИФНС №1 по Воронежской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