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16.05.2019, оставленным без изменения постановлением Семнадцатого арбитражного апелляционного суда от 21.10.2019 и постановлением Арбитражного суда Уральского округа от 13.02.2020, иск удовлетворен. В кассационной жалобе общество «Уралгоршахткомплект» просит о пересмотре судебных актов вследствие отсутствия необходимых условий для взыскания убытков.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признали расходы заказчика (истца) по устранению дефектов, возникших вследствие некачественно выполненного подрядчиком (ответчиком) планового ремонта вагонов, подлежащими взысканию с последнего в качестве убытков. Обстоятельства возникновения убытков и наличие условий, необходимых в силу статей 15 , 393 Гражданского кодекса Российской Федерации для их взыскания, установлены судами. Вопросы доказывания и оценки доказательств, на которых основаны доводы жалобы, не создают оснований для кассационного пересмотра судебных актов. На основании изложенного,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«Уралгоршахткомплект»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СГ-ТРАНС (подробнее) ОАО "Российские железные дороги" в лице Северо-Кавказской железной дороги (подробнее) Ответчики: ЗАО "Уралгоршахткомплект"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