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02.09.2019, оставленным без изменения постановлением Тринадцатого арбитражного апелляционного суда от 18.11.2019, общество привлечено к административной ответственности по части 2 статьи 14.10 Кодекса Российской Федерации об административных правонарушениях и ему назначено наказание в виде административного штрафа в размере 100 000 рублей с конфискацией изъятой продукции. Постановлением Суда по интеллектуальным правам от 27.02.2020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административным органом выявлен факт производства в целях сбыта товара, содержащего незаконное воспроизведение чужого товарного знака. Административный орган составил протокол об административном правонарушении, ответственность за которое предусмотрена частью 2 статьи 14.10 Кодекса Российской Федерации об административных правонарушениях, на основании которого обратился в арбитражный суд с заявлением о привлечении общества к административной ответственности. Часть 2 статьи 14.10 Кодекса Российской Федерации об административных правонарушениях предусматривает административную ответственность за производство в целях сбыта либо реализацию товара, содержащего незаконное воспроизведение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статьи 14.33 настоящего Кодекса, если указанные действия не содержат уголовно наказуемого деяния. Оценив представленные доказательства, руководствуясь положениями Гражданского кодекса Российской Федерации, разъяснениями, изложенными в постановлении Пленума Высшего Арбитражного Суда Российской Федерации от 17.02.2011 № 11 «О некоторых вопросах применения Особенной части Кодекса Российской Федерации об административных правонарушениях», суды пришли к выводу о наличии в действиях общества состава вмененного административного правонарушения. Признав, что спорный товар обладает не свойственными оригинальному товару определенной совокупностью индивидуализирующих признаков, не был произведен либо введен в гражданский оборот правообладателем либо под его контролем как продукция правообладателя, суды отклонили доводы общества со ссылкой на положения статьи 1487 Гражданского кодекса Российской Федерации и неправильную квалификацию правонарушения. Судами также установлено, что процедура и срок давности привлечения к административной ответственности соблюдены, оснований для применения судами положений статьи 2.9 и статьи 4.1.1 Кодекса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Главное управление Министерства внутренних дел Российской Федерации по г. Санкт-Петербургу и Ленинградской области (подробнее) Ответчики: ООО "РЕЙКАНЕН ПАРТС" (подробнее) Иные лица: АУДИ (подробнее) ООО АГЕНТСТВО ИНТЕЛЛЕКТУАЛЬНОЙ СОБСТВЕННОСТИ (подробнее) ФОЛЬКСВАГЕН АКЦИЕНГЕЗЕЛЬШАФТ (подробнее) ШКОДА АУТО А.С.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