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«СВАП БЕТОН» обратилось в Арбитражный суд города Москвы с иском о взыскании с акционерного общества «Приволжтрансстрой» 756 499 рублей задолженности по договорам от 09.09.2015 № 24/15, от 20.02.2017 № 09/17 и процентов за пользование чужими денежными средствами, начисленных с 20.02.2017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«БТ Свап», общество с ограниченной ответственностью «Трансстрой-Волга». Решением Арбитражного суда города Москвы от 26.08.2019 иск удовлетворен. Постановлением Девятого арбитражного апелляционного суда от 28.11.2019 решение суда первой инстанции оставлено без изменения. Арбитражный суд Московского округа постановлением от 18.03.2020 указанные судебные акты оставил без изменения. Акционерное общество «Приволжтрансстрой»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382 , 384 , 702 , 711 Гражданского кодекса Российской Федерации, суды пришли к выводу о доказанности надлежащего оказания подрядчиком услуг по договорам и отсутствии со стороны заказчика оплаты оказанных услуг.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«Приволжтрансстрой»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"СВАП БЕТОН" (подробнее) Ответчики: АО "ПРИВОЛЖТРАНССТРОЙ" (подробнее) Судьи дела: Зарубина Е.Н.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