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о включении в третью очередь реестра требований кредиторов должника требования в размере 124 866 715 рублей 93 копеек. Определением Арбитражного суда города Санкт-Петербурга и Ленинградской области от 21.06.2019 заявление удовлетворено. Постановлением Тринадцатого арбитражного апелляционного суда от 01.11.2019, оставленным без изменения постановлением Арбитражного суда Северо-Западного округа от 20.02.2020, отменено определение суда первой инстанции от 21.06.2019,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статей 19 и 71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16 Обзора судебной практики Верховного Суда Российской Федерации № 3 (2017), утверждённого Президиумом Верховного Суда Российской Федерации 12.07.2017, не усмотрел законных оснований для удовлетворения заявления исходя из обстоятельств заинтересованности общества и должника, не раскрывших разумных экономических мотивов добровольного погашения обязательств находящегося в банкротстве лица, выхода действий указанных лиц за пределы обычного разумного поведения участников гражданского оборота, а также очевидной направленности подобного требования на создание фиктивной кредиторской задолженности с целью получения контроля бенефициарами должника над процедурой его банкротства.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«Набисс»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