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«Арсеналъ» обратилось в Арбитражный суд города Москвы с иском о взыскании с общества с ограниченной ответственностью Страховая Компания «ВТБ Страхование» 1 753 014 рублей 38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Министерство внутренних дел Российской Федерации. Решением Арбитражного суда города Москвы от 19.03.2019 иск удовлетворен. Постановлением Девятого арбитражного апелляционного суда от 14.10.2019 решение суда первой инстанции отменено и в удовлетворении иска отказано. Арбитражный суд Московского округа постановлением от 12.03.2020 постановление суда апелляционной инстанции оставил без изменения. Общество с ограниченной ответственностью Страховая Компания «Арсеналъ»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421 , 422 , 431 , 1102 Гражданского кодекса Российской Федерации,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 учетом изменений, внесенных Федеральным законом от 02.07.2013 № 165-ФЗ) и исходил из того, что по страховым случаям, полное формирование фактического состава которых было завершено в 2016 году, лицом, обязанным осуществить страховую выплату, являлся истец.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"Арсеналъ" (подробнее) Ответчики: ООО Страховая компания "ВТБ Страхование"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