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28.06.2020 взысканы 45 213 рублей 02 копейки страхового возмещения, 3 500 рублей расходов на независимую оценку, 79 484 рубля 80 копеек неустойки за период с 24.01.2017 по 21.06.2019, неустойка на сумму задолженности с 22.02.2019 по день фактического исполнения обязательств исходя из 1% за каждый день просрочки. Шестнадцатый арбитражный апелляционный суд постановлением от 29.10.2019 отменил решение от 28.06.2020 и отказал в удовлетворении иска по мотиву несоблюдения установленного законом порядка взаимодействия со страховщиком в рамках ОСАГО. Арбитражный суд Северо-Кавказского округа постановлением от 12.03.2020 постановление Шестнадцатого арбитражного апелляционного суда от 29.10.2019 оставил без изменения. В кассационной жалобе предприниматель просит об отмене судебных актов апелляционного и окружного судов, ссылаясь на неправомерность выводов судов об исполнении страховщиком обязательства по организации осмотра транспортного средства и возможности представления его для осмотра.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потерпевший без объективной причины проигнорировал приглашения страховщика о представлении поврежденного транспортного средства на осмотр, что в силу статьи 12 Федерального закона от 25.04.2002 № 40-ФЗ «Об обязательном страховании гражданской ответственности владельцев транспортных средств» и ее судебного толкования лишает его права требовать возмещения убытков на основании самостоятельно организованной оценки расходов на восстановление. Непринятие страховщиком мер к организации осмотра транспортного средства и наличие повреждений, исключающих возможность представления его для осмотра, опровергнуто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