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29.08.2019, оставленным без изменения постановлением Девятого арбитражного апелляционного суда от 12.11.2019, иск удовлетворен. Арбитражный суд Московского округа постановлением от 20.02.2020 решение от 29.08.2019 и постановление Девятого арбитражного апелляционного суда от 12.11.2019 оставил без изменения. В кассационной жалобе банк просит об отмене судебных актов, ссылаясь на неправомерное толкование условия гарантии о сроке представления требования о платеже.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Толкования понятия «представить требование» как вручить его в пределах определенного срока применительно к исследованному содержанию банковской гарантии от 04.10.2017 № БГ-148273/2017 судами не установлено. Направление требования о платеже в последний день срока действия гарантии признано соблюдением ее условий в соответствии со статьей 194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«Держава»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Министерство труда и социальной защиты Тульской области (подробнее) Ответчики: ПАО "АКЦИОНЕРНЫЙ КОММЕРЧЕСКИЙ БАНК "ДЕРЖАВА" 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