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Краснодар</w:t>
      </w:r>
    </w:p>
    <w:p>
      <w:pPr>
        <w:spacing w:after="200"/>
        <w:jc w:val="center"/>
      </w:pPr>
      <w:r>
        <w:rPr>
          <w:rFonts w:ascii="Times New Roman" w:hAnsi="Times New Roman" w:eastAsia="Times New Roman" w:cs="Times New Roman"/>
          <w:b w:val="0"/>
          <w:i w:val="0"/>
          <w:sz w:val="22"/>
        </w:rPr>
        <w:t>9 июня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Определение от 9 июня 2020 г. по делу № А32-18960/2019 Верховный Суд Российской Федерации - Экономическое Суть спора: о неисполнении или ненадлежащем исполнении обязательств по договорам поставки ВЕРХОВНЫЙ СУДРОССИЙСКОЙ ФЕДЕРАЦИИ № 308-ЭС20-7677 ОПРЕДЕЛЕНИЕ г. Москва09.06.2020 Судья Верховного Суда Российской Федерации Першутов А.Г., изучив кассационную жалобу индивидуального предпринимателя ФИО1 на решение Арбитражного суда Краснодарского края от 09.09.2019, постановление Пятнадцатого арбитражного апелляционного суда от 15.11.2019 и постановление Арбитражного суда Северо-Кавказского округа от 20.02.2020 по делу № А32-18960/2019 по иску индивидуального предпринимателя ФИО1 к муниципальному унитарному предприятию «Краснодарское трамвайно-троллейбусное управление» муниципального образования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09.09.2019, оставленным без изменения постановлением Пятнадцатого арбитражного апелляционного суда от 15.11.2019, в удовлетворении иска отказано. Постановлением Арбитражного суда Северо-Кавказского округа от 20.02.2020 указанные судебные акты оставлены без изменения. Истец просит отменить обжалуемые судебные акты, считая их принятыми с существенным нарушением норм материального права и (или) норм процессуального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руководствуясь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Гражданского кодекса Российской Федерации, суды отказали в удовлетворении иска, признав не доказанным наличие оснований для взыскания убытков. При этом суды исходили из того, что поведение ответчика (заказчика) по непринятию доставленного товара, на поставку которого заключен контракт, в отсутствие требуемой, но не направлявшейся заявки, соответствует условиям контракта. Приведенные в жалобе доводы не свидетельствуют о существенных нарушениях норм материального права, а также требований процессуального законодательства, повлиявших на исход судебного разбирательства. Учитывая изложенное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Ответчики: МУП "Краснодарское трамвайно-троллейбусное управление" МО г. Краснодар (подробнее) МУП "КРАСНОДАРСКОЕ ТРАМВАЙНО-ТРОЛЛЕЙБУСНОЕ УПРАВЛЕНИЕ" МУНИЦИПАЛЬНОГО ОБРАЗОВАНИЯ ГОРОД КРАСНОДАР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