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недействительными сделками банковских операций от 30.06.2018, 03.07.2017, 06.07.2017 и 07.07.2017 на общую сумму 11 385 959 рублей 77 копеек, совершенных клиентом банка – обществом, о применении последствий недействительности сделок. Определением Арбитражного суда города Москвы от 31.05.2019, оставленным без изменения постановлениями Девятого арбитражного апелляционного суда от 07.10.2019 и Арбитражного суда Московского округа от 11.02.2020, требования удовлетворены.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и 189.40 Федерального закона от 26.10.2002 № 127-ФЗ «О несостоятельности (банкротстве)», позицией, изложенной в пунктах 35.3 постановления от 23.12.2010 № 63 «О некоторых вопросах, связанных с применением главы III.1 Федерального закона "О несостоятельности (банкротстве)"», пришли к выводу о совершении сделок в пределах месяца до назначения временной администрации за пределами обычной хозяйственной деятельности, указав на следствие сделок – предпочтительное удовлетворение требований общества перед другими кредиторами должника, при этом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«Торговая компания "Мегацентр"»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