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29.07.2019, оставленным без изменения постановлением Одиннадцатого арбитражного апелляционного суда от 28.10.2019 и постановлением Арбитражного суда Поволжского округа от 13.02.2020,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деятельности общества за период с 01.01.2014 по 31.12.2016 инспекцией принято решение, которым доначислены налог на прибыль в сумме 2 754 100 рублей, налог на добавленную стоимость в сумме 2 532 580 рублей, соответствующие суммы пеней и штрафов. Основанием для указанных доначислений послужил вывод налогового органа о необоснованном получении обществом налоговой выгоды в виде отнесения затрат на расходы, уменьшающие налогооблагаемую базу по налогу на прибыль и применения налоговых вычетов по хозяйственным операциям с ООО «Проффи+» по договору субподрядных работ и ООО «Атлант-А» по договорам поставки строительных материалов. Не согласившись с решением инспекции в данной части, общество обратилось в арбитражный суд. Исследовав и оценив представленные доказательства, суд первой инстанции, руководствуясь положениями статей 146 , 169 , 171 , 172 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согласился с выводами налогового органа о направленности действий налогоплательщика на получение необоснованной налоговой выгоды и признал оспоренное решение инспекции законным. При этом суд исходил из совокупности доказательств, свидетельствующих об отсутствии реальных хозяйственных операций общества с указанными контрагентами, недостоверности и противоречивости первичных документов, создании между организациями формального документооборота, направленного на необоснованное получение из бюджета налоговой выгоды. Судом установлено, что заявленные работы выполнялись собственными силами налогоплательщика без участия субподрядной организации; строительная продукция, включая строительный клей и герметик, приобретались заявителем непосредственно у ООО «Эверест», в связи с чем у общества имелась возможность работать напрямую с поставщиком товаров, не привлекая фирму-посредника. Кроме того, контрагенты заявителя имеют признаки номинальных организаций, перечисление денежных средств носило транзитный характер. Суды апелляционной инстанции и округа поддержали выводы суда первой инстанции.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спора. Доводы жалобы повторяют позицию общества, выражают несогласие с оценкой представленных в материалы дела доказательств и установленными судами фактическими обстоятельствами спора,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«Домкор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"Домкор Строй", г.Набережные Челны (подробнее) Ответчики: Межрайонная инспекция Федеральной налоговой службы по крупнейшим налогоплательщикам №4, г.Казань (подробнее) Иные лица: Одиннадцатый арбитражный апелляционный суд, г.Самара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