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Белгородской области от 30.09.2019, оставленным без изменения постановлением Девятнадцатого арбитражного апелляционного суда от 29.11.2019 и постановлением Арбитражного суда Центрального округа от 07.02.2020, производство по заявлению ответчика о взыскании судебных расходов прекращено на основании пункта 2 части 1 статьи 150 Арбитражного процессуального кодекса Российской Федерации. В кассационной жалобе общество «Интерприбор» просит об отмене судебных актов, ссылаясь на фактическое несение спорных издержек после рассмотрения вопроса о судебных расходах.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Производство по заявлению о возмещении расходов, понесенных в связи с рассмотрением заявления о взыскании судебных расходов, прекращено в соответствии с пунктом 2 части 1 статьи 150 Арбитражного процессуального кодекса Российской Федерации в его судебном истолковании применительно к вопросам распределения судебных расходов.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«Интерприбор»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"СЛАВЯНКА-ЛЮКС" (подробнее) Ответчики: ООО "Интерприбор" (подробнее) Иные лица: Горшеченский районный суд Курской области (подробнее) ФБУ Воронежский РЦСЭ Минюста России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