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19.08.2019 заявление удовлетворено. Постановлением Одиннадцатого арбитражного апелляционного суда от 18.10.2019, оставленным без изменения постановлением Арбитражного суда Поволжского округа от 17.02.2020, решение суда первой инстанции отменено,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апелляционного суда и суда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управлением проведена плановая выездная проверка в отношении общества, в ходе которой проведена сверка полноты и правильности исчисления платы за негативное воздействие на окружающую среду за период с 2016 по 2018 годы и установлено нарушение требований статьи 16.4 Федерального закона от 10.01.2002 № 7-ФЗ «Об охране окружающей среды», пункта 5 постановления Правительства Российской Федерации от 03.03.2017 № 255 «Об исчислении и взимании платы за негативное воздействие на окружающую среду», статьи 21 Федерального закона от 04.05.1999 № 96-ФЗ «Об охране атмосферного воздуха», статьи 19 Федерального закона № 89-ФЗ от 24.06.1998 «Об отходах производства и потребления» (далее - Закон № 89-ФЗ). По результатам проверки 28.02.2019 управлением составлен акт № 35 и выдано предписание № 35/4 об устранении нарушений законодательства в области охраны окружающей среды и нарушений природоохранных требований. Не согласившись с предписанием управления, общество обратилось в арбитражный суд. При рассмотрении дела судом первой инстанции установлено, что обществом в проверяемом периоде заключены договоры с ООО СТК «Профстроймастер» на выполнение субподрядных работ, ООО «Экопром» на оказание услуг по сбору, транспортированию и размещению (захоронению) отходов IV-V классов опасности с дальнейшей их передачей на размещение (захоронение) от 11.01.2017 № Д311-8 и ООО «ПЖКХ» от 13.03.2017 № Д313/131 на оказание услуг по сбору, транспортировке, размещению отходов IV-V класса опасности согласно техническому заданию. По пункту 1 оспоренного предписания, которым обществу вменено неотражение и невнесение платы за размещение отходов производства, суд первой инстанции пришел к выводу, что в данном случае имела место утилизация контрагентом отходов, которая не предусматривает начисление и внесение платы за негативное воздействие на окружающую среду. При этом факт выполнения ООО СТК «Профстроймастер» на объекте общества строительно-монтажных работ, включающих вывоз строительного мусора, образовавшегося в связи с проведением работ, сам по себе не является достаточным основанием для возложения на общество обязанности по перечислению платы за негативное воздействие на окружающую среду. По пункту 2 предписания суд указал, что ответственность за правильное размещение расходов на соответствующем полигоне должны нести контрагенты общества, а не сам заявитель. В части пункта 3 оспариваемого предписания суд отметил, что выбросы загрязняющих веществ в атмосферу от стационарных источников произведены подрядными организациями в результате выполнения работ от их стационарных источников, на основании заключенных с обществом договоров подряда, которыми предусмотрена обязанность подрядных организаций по возмещению вреда, причиненного окружающей среде. Отменяя решение суда и отказывая в удовлетворении требования, суд апелляционной инстанции исходил из того, что положениями статьи 4 Закона № 89-ФЗ и статей 210 , 236 Гражданского кодекса Российской Федерации предусмотрено, что плата за размещение отходов взимается с собственника отходов, в связи с чем общество обязано вносить плату за негативное воздействие на окружающую среду с учетом ведения хозяйственной деятельности на принадлежащих ему объектах негативного воздействия. Судом также принято во внимание решение Вахитовского районного суда города Казани от 18.07.2019 по делу № 12-2144/2019, которым установлены обстоятельства, имеющие непосредственное отношение к нарушениям законодательства об охране окружающей среды, содержащимся в оспариваемом по настоящему делу предписании. Суд округа поддержал выводы суда апелляционной инстанции. Доводы, изложенные в кассационной жалобе, являлись предметом рассмотрения судов апелляционной инстанции и округа и не опровергают их выводы. Также доводы жалобы не подтверждают существенных нарушений норм права, повлиявших на исход дела, направлены на переоценку установленных обстоятельств и основаны на ином толковании норм права, в связи с чем не могут служить достаточным основанием для пересмотра судебных актов в кассационном порядке. С учетом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«Татэнерго»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"Татэнерго", г.Казань (подробнее) Ответчики: Управление Федеральной службы по надзору в сфере природопользования по Республике Татарстан, г.Казань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