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«Нефтетранссервис» обратилось в Арбитражный суд города Москвы с иском о взыскании с акционерного общества «Вагонная ремонтная компания-3» 996 281 рубля 19 копеек расходов на устранение недостатков выполненного ремонта. Решением Арбитражного суда города Москвы от 20.08.2019 иск удовлетворен. Постановлением Девятого арбитражного апелляционного суда от 08.11.2019 решение суда первой инстанции оставлено без изменения. Арбитражный суд Московского округа постановлением от 28.02.2020 указанные судебные акты оставил без изменения. Акционерное общество «Вагонная ремонтная компания-3»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ненадлежащее качество выполненного ответчиком ремонта грузовых вагонов, их узлов и деталей и несение истцом расходов по устранению выявленных недостатков, руководствуясь положениями статей 309 , 310 , 722 , 723 Гражданского кодекса Российской Федерации, суды пришли к выводу об обоснованности заявленного требования, не установив оснований для уменьшения расходов.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«Вагонная ремонтная компания-3»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"НефтеТрансСервис" (подробнее) Ответчики: АО "ВАГОННАЯ РЕМОНТНАЯ КОМПАНИЯ - 3"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