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Санкт-Петербурга и Ленинградской области от 15.05.2019 с общества в пользу компании взыскано 13 494 068 руб. 54 коп. задолженности, 90 470 руб. в возмещение расходов по уплате государственной пошлины по иску. Постановлением Тринадцатого арбитражного апелляционного суда от 07.10.2019 решение суда первой инстанции изменено, с общества в пользу компании взыскано 12 820 172 руб. 54 коп. задолженности, 85 546 руб. 24 коп. в возмещение расходов по уплате государственной пошлины по иску, в удовлетворении остальной части исковых требований отказано. Постановлением Арбитражного суда Северо-Западного округа от 13.03.2020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норм материального 2 и процессуального права, просит отменить указанные судебные акты и направить дело на новое рассмотрение в суд первой инстанции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Изменяя решение суда первой инстанции и частично удовлетворяя исковые требования, суд апелляционной инстанции, с которым согласился суд округа, повторно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договора подряда от 11.06.2014 № 23/14, а также обстоятельства его исполнения сторонами, руководствуясь статьями 709, 726, 740, 743, 746 Гражданского кодекса Российской Федерации, пришел к выводу о наличии у общества задолженности по оплате выполненных компанией работ во взысканном размере.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обстоятельств, установленных судами при рассмотрении дела,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«Электропрофи»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