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07.05.2019, оставленным без изменения постановлением Тринадцатого арбитражного апелляционного суда от 16.10.2019 и постановлением Арбитражного суда Северо-Западного округа от 06.02.2020, с корпорации в пользу общества взыскано 56 190,11 доллара США убытков, 7603,51 доллара США процентов, в удовлетворении остальной части первоначального иска отказано. С общества в пользу корпорации взыскано 2 028 813 руб. 13 коп., 3 386,90 евро и 132 827,01 долларов США убытков, 99 161 руб. 72 коп. 54,52 евро и 2136,15 доллара США процентов, в удовлетворении остальной части встречного иска отказано. В результате зачета требований с общества в пользу корпорации взыскано 2 028 813 руб. 20 коп., 3 386,90 евро и 69 033,39 доллара США убытков, 99 161 руб. 72 коп., 54,52 евро и 2 136,15 доллара США процентов. В кассационной жалобе, поданной в Верховный Суд Российской Федерации, предприниматель,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с которыми согласился суд округа,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1064 , 1079 Гражданского кодекса Российской Федерации, статьями 310, 312, 313, 315, 414, 420 Кодекса торгового мореплавания Российской Федерации, пришли к выводу о наличии оснований для частичного удовлетворения как первоначального иска, так и встречного иска, определив подлежащие взысканию суммы в отношении первоначальных и встречных требований и распределив каждую пропорционально установленной степени вины. При определении надлежащего лица, которое должно возмещать убытки по первоначальному иску, суды руководствовались положениями статьи 8 Кодекса торгового мореплавания Российской Федерации, согласно которой под судовладельцем понимается лицо, эксплуатирующее судно от своего имени, а также условиями представленного в материалы дела соглашения о менеджменте, согласно которому компания действует от имени судовладельца - корпорации, при этом условиями данного соглашения предусмотрено возмещение любых расходов, понесенных менеджерами в процессе исполнения ими обязанностей судовладельца. Доводы кассационной жалобы не опровергают выводы судов, аналогичны доводам, ранее заявлявшимся в судах и получившим соответствующую правовую оценку,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компании «Рюбиоу Хоулдингз Лимитэд» (Rubio Holdings Limited)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ROBIO HOLDING LIMITED (подробнее) Рюбиоу хоулдингз лимитэд (подробнее) Ответчики: Global One Shipping Corp. (подробнее) ROSVELE TENKIRS CORP (подробнее) Глобал ван шипинг корп (подробнее) Компания "Global One Shipping Corp." (подробнее) Росвиль тэнкирс корп (подробнее) Иные лица: Главное управление Министерства юстиции Российской Федерации по Санкт-Петербургу (подробнее) ОБЬ-ИРТЫШСКОЕ УПРАВЛЕНИЕ ГОСУДАРСТВЕННОГО МОРСКОГО И РЕЧНОГО НАДЗОРА ФЕДЕРАЛЬНОЙ СЛУЖБЫ ПО НАДЗОРУ В СФЕРЕ ТРАСПОРТА (подробнее) Юридическая Фирма "РЕМЕДИ"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