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08.12.2017 иск удовлетворен. Постановлением Седьмого арбитражного апелляционного суда от 08.10.2019 решение суда первой инстанции отменено, в удовлетворении иска отказано. Постановлением Арбитражного суда Западно-Сибирского округа от 10.02.2020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инстанции, руководствуясь статьями 1, 10, 15, 170, 401, 404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оценив по правилам статьи 71 Арбитражного процессуального кодекса Российской Федерации представленные в материалы дела доказательства, учитывая повышенный стандарт доказывания, так как ответчик находится в банкротстве, пришел к выводу о неподтвержденности истцом факта несения убытков в виде расходов, связанных с транспортировкой оборудования, его монтажом, пуско-наладкой и производством работ, а также разумности их стоимости. С указанными выводами впоследствии согласился суд округа. Изложенные в кассационной жалобе доводы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«Сибуглеснаб»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