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12.07.2019 в удовлетворении иска отказано. Девятый арбитражный апелляционный суд определением от 14.10.2019 перешел к рассмотрению дела по правилам суда первой инстанции. Постановлением Девятого арбитражного апелляционного суда от 14.11.2019 решение суда первой инстанции отменено, в удовлетворении иска отказано. Постановлением Арбитражного суда Московского округа от 27.02.2020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Девятый арбитражный апелляционный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421 Гражданского кодекса Российской Федерации,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 апелляционной инстанции пришел к выводу о необоснованности иска, исходя из отсутствия просрочки передачи объекта ответчиком. 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по существу направлены на переоценку фактических обстоятельств данного дела, что не входит в компетенцию Судебной коллегии по экономическим спорам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АО "СК ДОНСТРОЙ"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