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20.05.2019, оставленным без изменения постановлениями Восьмого арбитражного апелляционного суда от 28.10.2019 и Арбитражного суда Западно-Сибирского округа от 20.02.2020, в удовлетворении заявленного требования отказано. В кассационной жалобе товарищество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в отношении товарищества внеплановой документарной проверки с целью рассмотрения обращения организации инспекцией выявлен ряд нарушений при использовании средств фонда капитального ремонта, в том числе финансирование работ по текущему ремонту общего имущества дома в размере 707 665 рублей 21 копейки, о чем составлен акт и выдано предписание от 20.03.2018 № ТО-16-20 об устранении выявленных нарушений законодательства в срок до 01.10.2018. По результатам проведенной внеплановой документарной проверки в период с 15.10.2018 по 12.11.2018 инспекцией установлен факт неисполнения пункта 1 выданного ранее предписания, в связи с чем предписанием от 12.11.2018 № ТО-20-106 (с учетом изменений, внесенных письмом инспекции от 27.11.2018 № 15421/18) на товарищество возложена обязанность в срок до 01.03.2019 обеспечить восстановление денежных средств фонда капитального ремонта в размере 707 665 рублей 21 копейки, использованных не на цели капитального ремонта. Не соглашаясь с указанным ненормативным актом, товарищество обратилось в арбитражный суд с соответствующим заявлением. Отказывая в удовлетворении заявления,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части 1 статьи 39 , части 2 статьи 158 , части 1 статьи 166 , части 1 статьи 174 Жилищного кодекса Российской Федерации,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строительному и жилищно-коммунальному комплексу от 27.09.2003 № 170, Региональной программой капитального ремонта общего имущества в многоквартирных домах Тюменской области на 2015 – 2044 годы, утвержденной распоряжением Правительства Тюменской области от 15.12.2014 № 2224-рп (далее - Региональная программа № 2224-рп), пунктом 3.1 Национального стандарта Российской Федерации ГОСТ Р 56535-2015 «Услуги жилищно-коммунального хозяйства и управления многоквартирными домами. Услуги текущего ремонта общего имущества многоквартирных домов. Общие требования», утвержденного и введенного в действие приказом Федерального агентства по техническому регулированию и метрологии от 29.07.2015 № 1005-ст, пунктом 3.13 Национального стандарта Российской Федерации ГОСТ Р 51929-2014 «Услуги жилищно-коммунального хозяйства и управления многоквартирными домами. Термины и определения», утвержденного и введенного в действие приказом Федерального агентства по техническому регулированию и метрологии от 11.06.2014 № 543-ст, пришли к выводу о том, что оспариваемое предписание соответствует жилищному законодательству и не нарушает права и законные интересы заявителя. Судебные инстанции исходили из того, что работы, связанные с установкой дверей в подвал, в мусорокамеру, на пожарную лестницу и входных дверей, а также ремонт двух крылец не входят в перечень работ по капитальному ремонту фасада, в связи с чем для их финансирования не могут использоваться средства из фонда капитального ремонта. При этом суды установили, что здание многоквартирного дома построено в 2005 году, износ его конструктивных элементов составляет 5 %; товариществом выполнены работы по установке металлических дверей (спуск в подвал), дверей из алюминия и стекла (первые двери), по ремонту дверей (вход в мусорокамеру и на пожарную лестницу) и работы по укладке гранита (двух крылец), которые составляют менее 30 % от ремонтируемого имущества; остальные элементы фасада здания – оконные проемы мест общего пользования, пандусы, ступени, ограждения, козырьки входных групп, отмостки, кирпичная кладка здания не ремонтировались, следовательно, проведенные работы не выполнены товариществом в комплексе. Таким образом, то обстоятельство, что отдельные работы (по заполнению дверных проемов в подвальные помещения, по заполнению наружных дверных проемов, по ремонту входных групп) включены в содержащийся в Региональной программе № 2224-рп перечень капитальных работ по ремонту подвальных помещений и ремонту фасада, само по себе не свидетельствует о проведении капитального ремонта конструктивных элементов многоквартирного дома. Обстоятельства данного спора и представленные доказательства были предметом рассмотрения и оценки судов. Доводы кассационной жалобы основаны на ошибочном толковании норм права, являлись предметом рассмотрения судов, получили надлежащую правовую оценку с учетом установленных обстоятельств дела и мотивированно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жилья «Ватутина 55»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ТСЖ "ВАТУТИНА 55" (подробнее) Ответчики: Государственная Жилищная инспекция Тюменской области (подробнее) Судьи дела: Антонова М.К. (судья) (подробнее) Судебная практика по: По коммунальным платежам Судебная практика по применению норм ст. 153, 154, 155, 156, 156.1, 157, 157.1, 158 ЖК РФ Капитальный ремонт Судебная практика по применению норм ст. 166, 167, 168, 169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