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Безруков Игорь Петрович (далее – кредитор) обратился в суд с заявлением о включении в реестр требований кредиторов должника 40 000 000 рублей основного долга, 25 000 000 рублей договорных процентов (штрафных санкций), 1 072 083 рублей 33 копеек процентов за пользование чужими денежными средствами по статье 395 Гражданского кодекса Российской Федерации и 60 000 рублей судебных расходов по оплате государственной пошлины. Определением Арбитражного суда Московской области от 29.08.2019, оставленным без изменения постановлениями Десятого арбитражного апелляционного суда от 31.10.2019 и Арбитражного суда Московского округа от 26.02.2020, заявление удовлетворено частично. В кассационной жалобе, поданной в Верховный Суд Российской Федерации, заявитель просит изменить названные судебные акты в части удовлетворения требования о включении в реестр 1 072 083 рублей 33 копеек процентов и принять в данной части новый судебный акт об отказе в удовлетворении названного требования.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395, 809, 811 Гражданского кодекса Российской Федерации, пришли к верным выводам о наличии оснований для включения в реестр процентов, начисленных не в соответствии с условиями заключенного с кредитором договора займа, а на сумму установленной вступившим в законную силу судебным актом и непогашенной задолженности, расчёт которых заявителем не оспаривался.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Безрукову Михаилу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