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задолженности в размере 1 385 377 рублей 16 копеек. Определением Арбитражного суда города Санкт-Петербурга и Ленинградской области от 20.08.2019, оставленным без изменения постановлениями Тринадцатого арбитражного апелляционного суда от 13.12.2019 и Арбитражного суда Северо-Западного округа от 11.03.2020,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807, 808, 861, 862 Гражданского кодекса Российской Федерации,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неподтвержденности наличия и размера задолженности перед компанией (единственного участника должника с долей в размере 100% уставного капитала и полномочиями коллегиального исполнительного органа), не раскрывшей разумных экономических мотивов заключения положенных в основу своих требований сделок с должником, в связи с чем отказали в удовлетворении заявления.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«Группа компаний «Роуд Сити Билдинг»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