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имуществом гражданина Рыкова Алексея Васильевича (далее – участник строительства) Калмыков Александр Иванович обратился в суд с заявлением о включении требования о передаче жилых помещений – пяти квартир № 271, 274, 275, 281, 284, расположенных в жилом доме по строительному адресу: Московская область, город Щелково, ул. Советская, д. 60, в реестр требований участников строительства должника о передаче жилых помещений; включении требования о взыскании 5 451 715 рублей 50 копеек неустойки за нарушение срока передачи квартир, в состав четвёртой очереди требований кредиторов о взыскании денежных средств, а также восстановления срока на подачу заявления. Определением Арбитражного суда Московской области от 05.06.2019, оставленным без изменения постановлениями Десятого арбитражного апелляционного суда от 15.10.2019 и Арбитражного суда Московского округа от 25.02.2020,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100, 142, 201.4, 201.6, 201.7, 201.9 Федерального закона от 26.10.2002 № 127-ФЗ «О несостоятельности (банкротстве)», исходили из обоснованности требований ввиду подтверждённого факта неисполнения должником как застройщиком своих обязательств перед участником строительства, уважительности причин пропуска срока на подачу заявления и необходимости его восстановления.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«Отель» Большакову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