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27.11.2017, оставленным без изменения постановлением Восемнадцатого арбитражного апелляционного суда от 28.02.2018 и постановлением Арбитражного суда Уральского округа от 11.02.2020, иск удовлетворен. В кассационной жалобе заявитель просит о пересмотре судебных актов, ссылаясь на отсутствие неосновательного обогащения.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статьей 1102 Гражданского кодекса Российской Федерации и судебной практикой рассмотрения подобных споров, суд правомерно удовлетворил иск, установив получение и удержание ответчиком не предназначавшихся в силу закона либо договора денежных средств. Иная оценка правовых оснований для удержания денежных средств, изложенная в жалобе, не составляет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"Первое ипотечное коллекторское агентство" (подробнее) ООО "ПИКА" (подробнее) Ответчики: ЗАО "АСТА-АГИДЕЛЬ" (подробнее) ООО "Аста-Агидель"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