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финансовый управляющий его имуществом ФИО3 обратился в суд с заявлением о признании требования общества с ограниченной ответственностью «Троицкий крановый завод» (далее – общество), включенного в реестр требований кредиторов должника в общей сумме 34 895 673 рубля 10 копеек, общим обязательством супругов ФИО2 и ФИО4. Определением Арбитражного суда Пензенской области от 23.09.2019, оставленным без изменения постановлениями Одиннадцатого арбитражного апелляционного суда от 19.11.2019 и Арбитражного суда Поволжского округа от 30.01.2020, заявление удовлетворено. В кассационной жалобе, поданной в Верховный Суд Российской Федерации, заявитель просит отменить указанные судебные акты.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статей 34 и 45 Семейного кодекса Российской Федерации, позицией, изложенной в пункте 6 постановления Пленума Верховного Суда Российской Федерации от 25.12.2018 № 48 «О некоторых вопросах, связанных с особенностями формирования и распределения конкурсной массы в делах о банкротстве граждан», признав доход от предпринимательской деятельности должника, полученный в период брака с ФИО4, в размере 34 895 673 рублей 10 копеек общим имуществом супругов, пришли к выводу, что обязательства перед обществом следует признать общими обязательствами должника и его супруги ФИО4, указав на совместные противоправные действия супругов по выводу ликвидных активов семьи с целью недопущения реализации данного имущества в процедуре банкротства. Выводы судов соответствуют нормам права, оснований для переоценки выводов судов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ФИО2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АО "ЮниКредит Банк" (подробнее) ООО "Троицкий крановый завод" (подробнее) ООО "Троицкий Крановый завод" в лице конкурсного управляющего Бабенко Ивана Владимировича (подробнее) Иные лица: АО "ЮниКредитБанк" (подробнее) Ассоциация Ведущих Арбитражных Управляющих "Достояние" (подробнее) Управление Федеральной налоговой службы по Пензенской области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