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ФИО3 обратился в суд с заявлением о признании недействительной сделкой передачу акционерному обществу «Банк «Союз» (далее – банк) принадлежащей должнику и нереализованной в принудительном порядке в рамках исполнительного производства двухкомнатной квартиры площадью 91,10 кв. м, расположенной по адресу: &lt;...&gt;, о применении последствий недействительности сделки. Определением Арбитражного суда Пермского края от 22.10.2019 заявление удовлетворено. Постановлением Семнадцатого арбитражного апелляционного суда от 25.12.2019, оставленным без изменения постановлением Арбитражного суда Уральского округа от 11.03.2020, отменено определение суда первой инстанции от 22.10.2019, отказано в удовлетворении заявления. В кассационных жалобах, поданных в Верховный Суд Российской Федерации, заявители просят отменить постановления судов апелляционной инстанции и округа, оставить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определение суда первой инстанции и отказывая в удовлетворении заявления,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позицией, изложенной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того, что оспариваемая сделка совершена более чем за два года до возбуждения дела о банкротстве должника, то есть за пределами периода предпочтительности, предусмотренного положениями пунктов 2 и 3 статьи 61.3 Федерального закона от 26.10.2002 № 127-ФЗ «О несостоятельности (банкротстве)» (далее – Закон о банкротстве), признав также недоказанным наличие совокупности условий, предусмотренной пунктом 2 статьи 61.2 Закона о банкротстве, для недействительности данной сделки. Суд округа поддержал выводы апелляционного суда. Выводы судов апелляционной инстанции и округа соответствуют нормам права, оснований для переоценки выводов судов по доводам жалоб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ФИО2 ФИО3 и ФИО4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"Альфа-Банк" (подробнее) АО "Банк Русский Стандарт" (подробнее) АО "ЮниКредит Банк" (подробнее) ИФНС России по Мотовилихинскому району г.Перми (подробнее) ООО "Управляющая компания Траст" (подробнее) ПАО "Сбербанк России" (подробнее) Иные лица: АО Банк СОЮЗ (подробнее) АССОЦИАЦИЯ АРБИТРАЖНЫХ УПРАВЛЯЮЩИХ "СИБИРСКИЙ ЦЕНТР ЭКСПЕРТОВ АНТИКРИЗИСНОГО УПРАВЛЕНИЯ" (подробнее) Территориальное управление Министерство социального развития Пермского края,по г.Перми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