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22.07.2019, оставленным без изменения постановлением Тринадцатого арбитражного апелляционного суда от 07.10.2019 и постановлением Арбитражного суда Северо-Западного округа от 05.02.2020, в удовлетворении иска отказано. В кассационной жалобе общество «Престиж» просит отменить судебные акты вследствие несоответствия выводов судов обстоятельствам дела и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Нарушение ответчиком (исполнителем) условий договора от 25.04.2018 № 399-2018 в качестве основания для взыскания штрафа судами не установлено, поэтому во взыскании спорной суммы отказано в соответствии с обстоятельствами исполнения обязательства и статьями 309 , 310 , 330 , 779 Гражданского кодекса Российской Федерации. Иная оценка подателем жалобы правоотношений сторон и обстоятельств их исполнения не создает оснований к кассационному пересмотру судебных актов.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«Престиж»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"Престиж" (подробнее) Ответчики: ООО "Р-78"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