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привлечении к субсидиарной ответственности по обязательствам банка Кузьмичева Александра Николаевича, Поздновой Светланы Николаевны, Иньковой Веры Юрьевны, Гончарова Виталия Васильевича, Винокурова Василия Васильевича, Шубина Павла Ридовича, Кошелевой Н.М., Ткачева Максима Константиновича, Шабановой Е.Н., Михайлова Юрия Викторовича, Хохулина Руслана Владимировича, Вайвера Юлия Михайловича, Тыртышникова Ильи Владимировича, Орешкиной Екатерины Александровны и Романова Владимира Витальевича в размере 5 728 535 000 рублей, заявив ходатайство о принятии обеспечительных мер. Определением Арбитражного суда Рязанской области от 04.09.2019, оставленным без изменения постановлениями Двадцатого арбитражного апелляционного суда от 25.12.2019 и Арбитражного суда Центрального округа от 02.03.2020, ходатайство о принятии обеспечительных мер удовлетворено в части наложения ареста на имущество названных лиц в пределах заявленной суммы субсидиарной ответственности; в остальной части ходатайство оставлено без удовлетворения. 2 В кассационных жалобах, поданных в Верховный Суд Российской Федерации, заявители просят отменить указанные судебные акты в части принятия в отношении них обеспечительных мер о наложении ареста на имущество в пределах заявленной суммы субсидиарной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Частично удовлетворяя заявление, суд первой инстанции руководствовался статьями 71, 90, 91 Арбитражного процессуального кодекса Российской Федерации, статьями 2, 46 Федерального закона от 26.10.2002 № 127-ФЗ «О несостоятельности (банкротстве)», абзацем вторым пункта 10 постановлении Пленума Высшего Арбитражного Суда Российской Федерации от 12.10.2006 № 55 «О применении арбитражными судами обеспечительных мер», учитывал специфику обособленных споров о привлечении контролирующих лиц к субсидиарной ответственности и наличие высокой вероятности совершения последними недобросовестных действий, верно указав, что принятые обеспечительные меры являются ускоренным и предварительным средством защиты, непосредственно связаны с предметом обособленного спора о привлечении заявителей и иных лиц к субсидиарной ответственности, не нарушают их прав и обеспечивают интересы кредиторов, заинтересованных в исполнимости судебного акта. С выводами суда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права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Приводимые в кассационных жалобах доводы заявителей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Кошелевой Наталье Михайловне и Шабановой Елене Николаевне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