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24.06.2019 в удовлетворении иска отказано. Постановлением Девятнадцатого арбитражного апелляционного суда от 29.11.2019, оставленным без изменения постановлением Арбитражного суда Центрального округа от 11.02.2020, решение изменено: с предприятия взыскано 948 000 рублей задолженности, 222 388 рублей 89 копеек процентов за пользование чужими денежными средствами за период с 28.09.2015 по 25.05.2018 с последующим начислением процентов за пользование чужими денежными средствами с 26.05.2018 по день фактического исполнения обязательства. В кассационной жалобе предприятие просит отменить судебные акты апелляционного и окружного судов, ссылаясь на неустановление обстоятельств и правовой природы правоотношений.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предприятие является заказчиком услуг в договоре от 12.08.2014 № 12082014, в котором согласован порядок принятия услуг, не реализованный предприятием при несогласии с исполнением. При отсутствии мотивированного отказа в принятии услуг и наличии доказательств достижения результата иск удовлетворен в соответствии со статьями 779 , 781 Гражданского кодекса Российской Федерации. Доводы кассационной жалобы сводятся к переоценке фактических обстоятельств дела и представленных доказательств, не составляющей оснований для пересмотра судебных актов Верховным Судом Российской Федерации в кассационном порядке.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Московской области «Московское областное бюро технической инвентаризации»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ЮК "Аргумент" (подробнее) Ответчики: ГОСУДАРСТВЕННОЕ БЮДЖЕТНОЕ УЧРЕЖДЕНИЕ МОСКОВСКОЙ ОБЛАСТИ "МОСКОВСКОЕ ОБЛАСТНОЕ БЮРО ТЕХНИЧЕСКОЙ ИНВЕНТАРИЗАЦИИ" (подробнее) ГУП МО "Московское областное бюро технической инвентиризации"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