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жалобой на бездействие конкурсного управляющего должником ФИО2, выразившееся в неподготовке заключения о наличии оснований для оспаривания сделок должника и в непринятии мер по оспариванию сделок. Определением Арбитражного суда Хабаровского края от 09.09.2019, оставленным без изменения постановлением Шестого арбитражного апелляционного суда от 26.11.2019 и постановлением Арбитражного суда Дальневосточного округа от 14.02.2020, отказано в удовлетворении жалобы.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20.3 и 129 Федерального закона от 26.10.2002 № 127-ФЗ «О несостоятельности (банкротстве)», пришли к выводу об отсутствии оснований для удовлетворения жалобы, указав на недоказанность наличия в действиях (бездействии) ФИО2 вменяемых ей нарушений законодательства о несостоятельности.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«Хельден»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"Хелден" (подробнее) Ответчики: ООО "СтройДВ"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