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10.07.2019, оставленным без изменения постановлением Второго арбитражного апелляционного суда от 23.09.2019, первоначальный иск удовлетворен в заявленном размере, в удовлетворении встречного иска отказано Арбитражный суд Волго-Вятского округа постановлением от 04.02.2020 решение от 10.07.2019 и постановление Второго арбитражного апелляционного суда от 23.09.2019 оставил без изменения. В кассационной жалобе банк просит об отмене судебных актов, ссылаясь на правомерное неисполнение требования об уплате штрафа в незаконном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о платеже по банковской гарантии от 06.06.2018 № 842812 предъявлено в пределах срока действия гарантии и с приложением необходимых по условиям гарантии документов, в том числе расчета требуемой суммы, что правомерно оценено судами как не позволявшее банку в силу статей 375 , 376 Гражданского кодекса Российской Федерации отказать в совершении платежа. Отказ в удовлетворении встречного иска основан на статьях 10 , 166 , 168 , 379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«Совкомбанк»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Управление социальной защиты населения Верхнеуфалейского городского округа (подробнее) Ответчики: ПАО "Совкомбанк"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