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20.08.2019, оставленным без изменения постановлением Девятого арбитражного апелляционного суда от 28.10.2019 и постановлением Арбитражного суда Московского округа от 10.02.2020, с предпринимателя взыскано 718 328 рублей 71 копеек убытков. В кассационной жалобе предприниматель просит о пересмотре судебных актов как незаконных, ссылаясь на нарушение норм процессуального права и неправомерное использование при расчете соотношения взаимных обязательств определенной истцом стоимости предмета лизинга.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надлежащее извещение предпринимателя о начавшемся процессе и правомерно возложили на него последствия неознакомления с материалами дела. Оценка действий лизингодателя в вопросе продажи предмета лизинга произведена судами в связи с возражениями предпринимателя.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"ВЭБ-лизинг"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