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17.06.2019, оставленным без изменения постановлением Седьмого арбитражного апелляционного суда от 01.10.2019 и постановлением Арбитражного суда Западно-Сибирского округа от 06.02.2020, иск удовлетворен. В кассационной жалобе общество «Еврострой» просит о пересмотре судебных актов, ссылаясь на несоблюдение досудебного порядка урегулирования спора и наличие условия для отказа во взыскании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наличие у ответчика обязанности в силу статьи 1102 Гражданского кодекса Российской Федерации возвратить полученную от истца сумму, поскольку оснований для ее удержания в отсутствие встречного предоставления не установлено. Довод заявителя о несоблюдении досудебного порядка урегулирования спора был предметом рассмотрения судов и не создает оснований к пересмотру судебных актов. Ссылка на пункт 4 статьи 1109 Гражданского кодекса Российской Федерации в обоснование отказа в возврате спорной суммы правомерно отклонена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"СтройТрейд" (подробнее) Ответчики: ООО "Еврострой"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