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просит об отсрочке уплаты государственной пошлины.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 учетом имущественного положения заявителя суд счел ходатайство подлежащим удовлетворению. Руководствуясь статьей 184 Арбитражного процессуального кодекса Российской Федерации, статьей 333.22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обществу с ограниченной ответственностью «СК «Диамант» отсрочку уплаты государственной пошлины до окончания производства по поданной им кассационной жалобе. Судья Верховного Суда Российской Федерации Н.А. Ксенофонтова Суд: Верховный Суд РФ (подробнее) Истцы: ООО СК ДИАМАНТ В ЛИЦЕ КОНКУРСНОГО УПРАВЛЯЮЩЕГО ГОСУДАРСТВЕННОЙ КОРПОРАЦИИ АГЕНТСТВО ПО СТРАХОВАНИЮ ВКЛАДОВ (подробнее) Ответчики: ООО "ИнТехПром" (подробнее) Судьи дела: Ксенофонтова Н.А. (судья) (подробнее) Последние документы по делу: Определение от 8 июня 2020 г. по делу № А40-95963/2019 Определение от 9 апреля 2020 г. по делу № А40-95963/2019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