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28.06.2019 исковые требования удовлетворены. Постановлением Десятого арбитражного апелляционного суда от 24.10.2019, оставленным без изменения постановлением Арбитражного суда Московского округа от 05.02.2020, решение изменено: взыскано 4 440 160 рублей 99 копеек задолженности. В кассационной жалобе общество «СТРОЙ ГРУПП» просит о пересмотре судебных актов апелляционного и окружного судов в части отказа в иске как противоречащих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представленные в дело доказательства не позволяют признать заключенным приложение № 2 к договору от 23.04.2018 № 003/18-ТУ и оказанными услуги по акту сдачи-приемки выполненных работ (оказанных услуг) от 04.06.2018 № 13, суды отказали в части заявленных требований за недоказанностью и в соответствии со статьями 309 , 310 , 160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 Групп" (подробнее) Ответчики: АО "Арсенал"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