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16.01.2019, оставленным без изменения постановлением Девятнадцатого арбитражного апелляционного суда от 27.09.2019 и постановлением Арбитражного суда Центрального округа от 03.02.2020, иск удовлетворен. В кассационной жалобе общество «Новая Энергия» просит об отмене судебных актов, ссылаясь на исполнение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исполнения договора об оказании консультационных услуг от 23.08.2017 № 2 и установили недостижение результата, согласованного в техническом задании, без объективной причины и влияния заказчика, поэтому признали за последним право на отказ от договора, возврат предоплаты и взыскание неустойки на основании статей 330 , 769 , 773 , 774 , 777 , 778 , 1102 Гражданского кодекса Российской Федерации. Наличие условия для оплаты в силу статьи 775 Гражданского кодекса Российской Федерации выполненных работ суды не выявили.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«Новая Энергия»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"ИННОВАЦИОННЫЙ ЦЕНТР "БИРЮЧ" (подробнее) Ответчики: ООО "Новая Энергия"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