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2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Компания обратилась в Арбитражный суд Красноярского края с заявлением о распределении судебных расходов. Определением Арбитражного суда Красноярского края от 23.12.2019 заявление компании удовлетворено. Не согласившись с названным определением суда первой инстанции, общество обратилось в Третий арбитражный апелляционный суд с апелляционной жалобой. Определением Третьего арбитражного апелляционного суда от 03.02.2020 апелляционная жалоба общества возвращена применительно к положениям части 1 статьи 264 Арбитражного процессуального кодекса Российской Федерации. Постановлением Арбитражного суда Восточно-Сибирского округа от 12.03.2020 определение суда апелляционной инстанции оставлено без изменения. Обществом в Верховный Суд Российской Федерации подана кассационная жалоба на указанные судебные акты. Определением судьи Верховного Суда Российской Федерации от 18.05.2020 № 304-ЭС20-183 производство по кассационной жалобе общества на определение суда первой инстанции от 23.12.2019 прекращено, в передаче жалобы на определение суда апелляционной инстанции от 03.02.2020 и постановление суда округа от 12.03.2020 отказано. Общество обратилось в Верховный Суд Российской Федерации с заявлением о разъяснении указанного определения. Согласно части 1 статьи 179 Арбитражного процессуального кодекса Российской Федерации в случае неясности решения арбитражный суд, принявший это решение, по заявлению лица, участвующего в деле, вправе разъяснить решение без изменения его содержания. По смыслу указанной нормы разъяснение судебного акта заключается в более полном и ясном изложении тех его частей, понимание которых вызывает затруднения. При этом суд не вправе изменять содержание судебного акта и не может касаться тех вопросов, которые не были отражены в судебном акте. Между тем определение Верховного Суда Российской Федерации от 18.05.2020 не содержит неясностей и неопределенностей, допускающих неоднозначное толкование и требующих разъяснения в порядке статьи 179 Арбитражного процессуального кодекса Российской Федерации. В связи с изложенным судья не усматривает оснований для удовлетворения заявления о разъяснении судебного акта. Руководствуясь статьями 179, 184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«Трасса-Экспресс» о разъяснении определения Верховного Суда Российской Федерации от 18.05.2020 № 302-ЭС20-183 о прекращении производства по кассационной жалобе на определение Арбитражного суда Красноярского края от 23.12.2019 по делу № А33-520/2019 и отказе в передаче жалобы на определение Третьего арбитражного апелляционного суда от 03.02.2020 и постановление Арбитражного суда Восточно-Сибирского округа от 12.03.2020 по тому же делу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