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19.12.2019, оставленным без изменения постановлением Седьмого арбитражного апелляционного суда от 29.01.2020 и постановлением Арбитражного суда Западно-Сибирского округа от 11.03.2020, назначена экспертиза, производство по делу приостановлено до получения заключения эксперта. В кассационной жалобе общество «Томскбурнефтегаз» просит отменить судебные акты как принятые с существенным нарушением процессуальных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2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Рассмотрение вопроса о приостановлении производства по делу в силу статьи 144 Арбитражного процессуального кодекса Российской Федерации относится к компетенции суда, рассматривающего дело, и оснований для вмешательства в нее на стадии кассационного производства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«Томскбурнефтегаз»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