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27.05.2019 иск удовлетворен. Девятый арбитражный апелляционный суд постановлением от 09.09.2019 отменил решение от 27.05.2019 и отказал в удовлетворении иска. Арбитражный суд Московского округа постановлением от 12.02.2020, постановление Девятого арбитражного апелляционного суда от 09.09.2019 оставил без изменения. В кассационной жалобе общество «Страховая компания «Арсеналъ» просит об отмене судебных актов апелляционного и окружного судов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Контракт от 12.09.2016 № 31/29ГК заключен после изменения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 и должен соответствовать этому Закону. Страховая выплата в связи с возникшим в рамках контракта от 12.09.2016 № 31/29ГК страховым случаем произведена обществом «Страховая компания «Арсеналъ» в соответствии с названным Законом и не может быть переложена на другое лицо.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