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29.07.2019, оставленным без изменения постановлением Девятого арбитражного апелляционного суда от 06.11.2019, во взыскании процентов и 34 522 рублей судебных расходов отказано, производство по делу о взыскании 296 564 рублей 83 копеек прекращено. Арбитражный суд Московского округа постановлением от 06.02.2020 решение от 29.07.2019 и постановление Девятого арбитражного апелляционного суда от 06.11.2019 оставил без изменения. В кассационной жалобе общество «ОптПроект» просит об отмене судебных актов, ссылаясь на неисследование вопроса об убытках вследствие несвоевременной передачи предмета лизинга.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Заявитель не лишен возможности восстановления и защиты прав допустимым способом, что указывает на отсутствие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